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F6" w:rsidRDefault="00E205F6" w:rsidP="00E205F6">
      <w:pPr>
        <w:adjustRightInd w:val="0"/>
        <w:snapToGrid w:val="0"/>
        <w:spacing w:line="360" w:lineRule="auto"/>
        <w:ind w:right="-420"/>
        <w:jc w:val="center"/>
        <w:rPr>
          <w:rFonts w:ascii="宋体" w:hAnsi="宋体" w:cs="宋体"/>
          <w:b/>
          <w:color w:val="FF0000"/>
          <w:w w:val="85"/>
          <w:kern w:val="21"/>
          <w:sz w:val="72"/>
          <w:szCs w:val="72"/>
        </w:rPr>
      </w:pPr>
    </w:p>
    <w:p w:rsidR="00E205F6" w:rsidRDefault="00E205F6" w:rsidP="00E205F6">
      <w:pPr>
        <w:adjustRightInd w:val="0"/>
        <w:snapToGrid w:val="0"/>
        <w:spacing w:line="360" w:lineRule="auto"/>
        <w:ind w:right="-420"/>
        <w:jc w:val="center"/>
        <w:rPr>
          <w:rFonts w:ascii="宋体" w:hAnsi="宋体" w:cs="宋体"/>
          <w:b/>
          <w:color w:val="FF0000"/>
          <w:w w:val="85"/>
          <w:kern w:val="21"/>
          <w:sz w:val="72"/>
          <w:szCs w:val="72"/>
        </w:rPr>
      </w:pPr>
    </w:p>
    <w:p w:rsidR="00E205F6" w:rsidRDefault="00E205F6" w:rsidP="00E205F6">
      <w:pPr>
        <w:adjustRightInd w:val="0"/>
        <w:snapToGrid w:val="0"/>
        <w:spacing w:line="360" w:lineRule="auto"/>
        <w:ind w:right="-420"/>
        <w:jc w:val="center"/>
        <w:rPr>
          <w:rFonts w:ascii="宋体"/>
          <w:b/>
          <w:color w:val="FF0000"/>
          <w:w w:val="80"/>
          <w:kern w:val="21"/>
          <w:sz w:val="72"/>
          <w:szCs w:val="72"/>
        </w:rPr>
      </w:pPr>
      <w:r>
        <w:rPr>
          <w:rFonts w:ascii="宋体" w:hAnsi="宋体" w:cs="宋体" w:hint="eastAsia"/>
          <w:b/>
          <w:color w:val="FF0000"/>
          <w:w w:val="85"/>
          <w:kern w:val="21"/>
          <w:sz w:val="72"/>
          <w:szCs w:val="72"/>
        </w:rPr>
        <w:t>温州大学现代教育技术中心文件</w:t>
      </w:r>
    </w:p>
    <w:p w:rsidR="00E205F6" w:rsidRDefault="00E205F6" w:rsidP="00E205F6">
      <w:pPr>
        <w:rPr>
          <w:rFonts w:hint="eastAsia"/>
        </w:rPr>
      </w:pPr>
    </w:p>
    <w:p w:rsidR="00E205F6" w:rsidRDefault="00E205F6" w:rsidP="00E205F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行政[201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205F6" w:rsidRDefault="00E205F6" w:rsidP="00E205F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15000" cy="0"/>
                <wp:effectExtent l="9525" t="13335" r="952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78FB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" strokecolor="red" strokeweight="1.5pt"/>
            </w:pict>
          </mc:Fallback>
        </mc:AlternateContent>
      </w:r>
    </w:p>
    <w:p w:rsidR="00E205F6" w:rsidRDefault="00E205F6" w:rsidP="00E205F6">
      <w:pPr>
        <w:rPr>
          <w:rFonts w:hint="eastAsia"/>
        </w:rPr>
      </w:pPr>
    </w:p>
    <w:p w:rsidR="00E205F6" w:rsidRDefault="00E205F6" w:rsidP="00E205F6"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关于印发《</w:t>
      </w:r>
      <w:r w:rsidRPr="00D17D8B">
        <w:rPr>
          <w:rFonts w:hint="eastAsia"/>
          <w:sz w:val="44"/>
          <w:szCs w:val="44"/>
        </w:rPr>
        <w:t>温州大学现代教育技术中心绩效考核办法</w:t>
      </w:r>
      <w:r>
        <w:rPr>
          <w:rFonts w:hint="eastAsia"/>
          <w:sz w:val="44"/>
          <w:szCs w:val="44"/>
        </w:rPr>
        <w:t>》的通知</w:t>
      </w:r>
    </w:p>
    <w:p w:rsidR="00E205F6" w:rsidRDefault="00E205F6" w:rsidP="00E205F6">
      <w:pPr>
        <w:rPr>
          <w:rFonts w:hint="eastAsia"/>
        </w:rPr>
      </w:pPr>
    </w:p>
    <w:p w:rsidR="00E205F6" w:rsidRDefault="00E205F6" w:rsidP="00E205F6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各部门：</w:t>
      </w:r>
    </w:p>
    <w:p w:rsidR="00E205F6" w:rsidRDefault="00E205F6" w:rsidP="00E205F6">
      <w:pPr>
        <w:spacing w:line="360" w:lineRule="auto"/>
        <w:ind w:firstLineChars="200" w:firstLine="560"/>
        <w:jc w:val="left"/>
        <w:rPr>
          <w:rFonts w:ascii="仿宋_GB2312" w:eastAsia="仿宋_GB2312" w:hint="eastAsia"/>
          <w:sz w:val="32"/>
          <w:szCs w:val="32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为了更好地调动</w:t>
      </w:r>
      <w:r>
        <w:rPr>
          <w:rFonts w:ascii="仿宋" w:eastAsia="仿宋" w:hAnsi="仿宋" w:cs="仿宋_GB2312" w:hint="eastAsia"/>
          <w:sz w:val="28"/>
          <w:szCs w:val="28"/>
        </w:rPr>
        <w:t>本部门工作人员的</w:t>
      </w:r>
      <w:r w:rsidRPr="00642A6C">
        <w:rPr>
          <w:rFonts w:ascii="仿宋" w:eastAsia="仿宋" w:hAnsi="仿宋" w:cs="仿宋_GB2312" w:hint="eastAsia"/>
          <w:sz w:val="28"/>
          <w:szCs w:val="28"/>
        </w:rPr>
        <w:t>积极性，</w:t>
      </w:r>
      <w:r w:rsidRPr="00BC6731">
        <w:rPr>
          <w:rFonts w:ascii="仿宋" w:eastAsia="仿宋" w:hAnsi="仿宋" w:cs="仿宋_GB2312" w:hint="eastAsia"/>
          <w:sz w:val="28"/>
          <w:szCs w:val="28"/>
        </w:rPr>
        <w:t>每年</w:t>
      </w:r>
      <w:r>
        <w:rPr>
          <w:rFonts w:ascii="仿宋" w:eastAsia="仿宋" w:hAnsi="仿宋" w:cs="仿宋_GB2312" w:hint="eastAsia"/>
          <w:sz w:val="28"/>
          <w:szCs w:val="28"/>
        </w:rPr>
        <w:t>将</w:t>
      </w:r>
      <w:r w:rsidRPr="008A3B4F">
        <w:rPr>
          <w:rFonts w:ascii="仿宋" w:eastAsia="仿宋" w:hAnsi="仿宋" w:cs="仿宋_GB2312" w:hint="eastAsia"/>
          <w:sz w:val="28"/>
          <w:szCs w:val="28"/>
        </w:rPr>
        <w:t>进行一次绩效考核</w:t>
      </w:r>
      <w:r>
        <w:rPr>
          <w:rFonts w:ascii="仿宋" w:eastAsia="仿宋" w:hAnsi="仿宋" w:cs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32"/>
          <w:szCs w:val="32"/>
        </w:rPr>
        <w:t>现制定《</w:t>
      </w:r>
      <w:r>
        <w:rPr>
          <w:rFonts w:ascii="仿宋_GB2312" w:eastAsia="仿宋_GB2312" w:hAnsi="仿宋_GB2312" w:cs="仿宋_GB2312" w:hint="eastAsia"/>
          <w:sz w:val="32"/>
          <w:szCs w:val="32"/>
        </w:rPr>
        <w:t>温州大学现代教育技术中心绩效考核办法</w:t>
      </w:r>
      <w:r>
        <w:rPr>
          <w:rFonts w:ascii="仿宋_GB2312" w:eastAsia="仿宋_GB2312" w:hint="eastAsia"/>
          <w:sz w:val="32"/>
          <w:szCs w:val="32"/>
        </w:rPr>
        <w:t>》，请遵照执行。</w:t>
      </w:r>
    </w:p>
    <w:p w:rsidR="00E205F6" w:rsidRPr="00AD4F3F" w:rsidRDefault="00E205F6" w:rsidP="00E205F6">
      <w:pPr>
        <w:widowControl/>
        <w:spacing w:before="100" w:beforeAutospacing="1"/>
        <w:ind w:firstLineChars="200" w:firstLine="640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E205F6" w:rsidRDefault="00E205F6" w:rsidP="00E205F6">
      <w:pPr>
        <w:widowControl/>
        <w:spacing w:before="100" w:beforeAutospacing="1"/>
        <w:ind w:firstLineChars="200" w:firstLine="640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E205F6" w:rsidRDefault="00E205F6" w:rsidP="00E205F6">
      <w:pPr>
        <w:spacing w:line="60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十一</w:t>
      </w:r>
      <w:r>
        <w:rPr>
          <w:rFonts w:ascii="仿宋_GB2312" w:eastAsia="仿宋_GB2312" w:hint="eastAsia"/>
          <w:sz w:val="32"/>
          <w:szCs w:val="32"/>
        </w:rPr>
        <w:t>月二</w:t>
      </w:r>
      <w:r>
        <w:rPr>
          <w:rFonts w:ascii="仿宋_GB2312" w:eastAsia="仿宋_GB2312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八日</w:t>
      </w:r>
    </w:p>
    <w:p w:rsidR="00E205F6" w:rsidRDefault="00E205F6" w:rsidP="00E205F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主题词</w:t>
      </w:r>
      <w:r>
        <w:rPr>
          <w:rFonts w:ascii="仿宋_GB2312" w:eastAsia="仿宋_GB2312" w:hint="eastAsia"/>
          <w:sz w:val="32"/>
          <w:szCs w:val="32"/>
        </w:rPr>
        <w:t>：绩</w:t>
      </w:r>
      <w:r>
        <w:rPr>
          <w:rFonts w:ascii="仿宋_GB2312" w:eastAsia="仿宋_GB2312"/>
          <w:sz w:val="32"/>
          <w:szCs w:val="32"/>
        </w:rPr>
        <w:t>效考核</w:t>
      </w:r>
      <w:r>
        <w:rPr>
          <w:rFonts w:ascii="仿宋_GB2312" w:eastAsia="仿宋_GB2312" w:hint="eastAsia"/>
          <w:sz w:val="32"/>
          <w:szCs w:val="32"/>
        </w:rPr>
        <w:t xml:space="preserve"> 通知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6"/>
      </w:tblGrid>
      <w:tr w:rsidR="00E205F6" w:rsidTr="003F32B5">
        <w:trPr>
          <w:trHeight w:val="534"/>
        </w:trPr>
        <w:tc>
          <w:tcPr>
            <w:tcW w:w="8576" w:type="dxa"/>
          </w:tcPr>
          <w:p w:rsidR="00E205F6" w:rsidRDefault="00E205F6" w:rsidP="003F32B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温州大学现代教育技术中心        201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B80CEA" w:rsidRPr="00E205F6" w:rsidRDefault="00D45922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E205F6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温州大学现代教育技术中心</w:t>
      </w:r>
      <w:r w:rsidR="00C40A59" w:rsidRPr="00E205F6">
        <w:rPr>
          <w:rFonts w:ascii="仿宋_GB2312" w:eastAsia="仿宋_GB2312" w:hAnsi="仿宋_GB2312" w:cs="仿宋_GB2312" w:hint="eastAsia"/>
          <w:b/>
          <w:sz w:val="32"/>
          <w:szCs w:val="32"/>
        </w:rPr>
        <w:t>绩效考核办法</w:t>
      </w:r>
    </w:p>
    <w:p w:rsidR="000F2A2D" w:rsidRPr="000F37F1" w:rsidRDefault="000F2A2D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B80CEA" w:rsidRPr="00642A6C" w:rsidRDefault="00C40A59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为了更好地调动</w:t>
      </w:r>
      <w:r w:rsidR="008075D2">
        <w:rPr>
          <w:rFonts w:ascii="仿宋" w:eastAsia="仿宋" w:hAnsi="仿宋" w:cs="仿宋_GB2312" w:hint="eastAsia"/>
          <w:sz w:val="28"/>
          <w:szCs w:val="28"/>
        </w:rPr>
        <w:t>本部门工作人员的</w:t>
      </w:r>
      <w:r w:rsidRPr="00642A6C">
        <w:rPr>
          <w:rFonts w:ascii="仿宋" w:eastAsia="仿宋" w:hAnsi="仿宋" w:cs="仿宋_GB2312" w:hint="eastAsia"/>
          <w:sz w:val="28"/>
          <w:szCs w:val="28"/>
        </w:rPr>
        <w:t>积极性，</w:t>
      </w:r>
      <w:r w:rsidR="008A3B4F" w:rsidRPr="00BC6731">
        <w:rPr>
          <w:rFonts w:ascii="仿宋" w:eastAsia="仿宋" w:hAnsi="仿宋" w:cs="仿宋_GB2312" w:hint="eastAsia"/>
          <w:sz w:val="28"/>
          <w:szCs w:val="28"/>
        </w:rPr>
        <w:t>每</w:t>
      </w:r>
      <w:r w:rsidRPr="00BC6731">
        <w:rPr>
          <w:rFonts w:ascii="仿宋" w:eastAsia="仿宋" w:hAnsi="仿宋" w:cs="仿宋_GB2312" w:hint="eastAsia"/>
          <w:sz w:val="28"/>
          <w:szCs w:val="28"/>
        </w:rPr>
        <w:t>年</w:t>
      </w:r>
      <w:r w:rsidR="008075D2">
        <w:rPr>
          <w:rFonts w:ascii="仿宋" w:eastAsia="仿宋" w:hAnsi="仿宋" w:cs="仿宋_GB2312" w:hint="eastAsia"/>
          <w:sz w:val="28"/>
          <w:szCs w:val="28"/>
        </w:rPr>
        <w:t>将</w:t>
      </w:r>
      <w:r w:rsidRPr="008A3B4F">
        <w:rPr>
          <w:rFonts w:ascii="仿宋" w:eastAsia="仿宋" w:hAnsi="仿宋" w:cs="仿宋_GB2312" w:hint="eastAsia"/>
          <w:sz w:val="28"/>
          <w:szCs w:val="28"/>
        </w:rPr>
        <w:t>进行一次绩效考核</w:t>
      </w:r>
      <w:r w:rsidR="008A3B4F">
        <w:rPr>
          <w:rFonts w:ascii="仿宋" w:eastAsia="仿宋" w:hAnsi="仿宋" w:cs="仿宋_GB2312" w:hint="eastAsia"/>
          <w:sz w:val="28"/>
          <w:szCs w:val="28"/>
        </w:rPr>
        <w:t>。</w:t>
      </w:r>
      <w:r w:rsidR="008075D2">
        <w:rPr>
          <w:rFonts w:ascii="仿宋" w:eastAsia="仿宋" w:hAnsi="仿宋" w:cs="仿宋_GB2312" w:hint="eastAsia"/>
          <w:sz w:val="28"/>
          <w:szCs w:val="28"/>
        </w:rPr>
        <w:t>考核</w:t>
      </w:r>
      <w:r w:rsidR="008A3B4F">
        <w:rPr>
          <w:rFonts w:ascii="仿宋" w:eastAsia="仿宋" w:hAnsi="仿宋" w:cs="仿宋_GB2312" w:hint="eastAsia"/>
          <w:sz w:val="28"/>
          <w:szCs w:val="28"/>
        </w:rPr>
        <w:t>依据“</w:t>
      </w:r>
      <w:r w:rsidRPr="00642A6C">
        <w:rPr>
          <w:rFonts w:ascii="仿宋" w:eastAsia="仿宋" w:hAnsi="仿宋" w:cs="仿宋_GB2312" w:hint="eastAsia"/>
          <w:sz w:val="28"/>
          <w:szCs w:val="28"/>
        </w:rPr>
        <w:t>中心人员工作</w:t>
      </w:r>
      <w:r w:rsidR="00D45922">
        <w:rPr>
          <w:rFonts w:ascii="仿宋" w:eastAsia="仿宋" w:hAnsi="仿宋" w:cs="仿宋_GB2312" w:hint="eastAsia"/>
          <w:sz w:val="28"/>
          <w:szCs w:val="28"/>
        </w:rPr>
        <w:t>考核</w:t>
      </w:r>
      <w:r w:rsidR="008A3B4F">
        <w:rPr>
          <w:rFonts w:ascii="仿宋" w:eastAsia="仿宋" w:hAnsi="仿宋" w:cs="仿宋_GB2312" w:hint="eastAsia"/>
          <w:sz w:val="28"/>
          <w:szCs w:val="28"/>
        </w:rPr>
        <w:t>评价”指标</w:t>
      </w:r>
      <w:r w:rsidR="008075D2">
        <w:rPr>
          <w:rFonts w:ascii="仿宋" w:eastAsia="仿宋" w:hAnsi="仿宋" w:cs="仿宋_GB2312" w:hint="eastAsia"/>
          <w:sz w:val="28"/>
          <w:szCs w:val="28"/>
        </w:rPr>
        <w:t>进行，</w:t>
      </w:r>
      <w:r w:rsidRPr="00642A6C">
        <w:rPr>
          <w:rFonts w:ascii="仿宋" w:eastAsia="仿宋" w:hAnsi="仿宋" w:cs="仿宋_GB2312" w:hint="eastAsia"/>
          <w:sz w:val="28"/>
          <w:szCs w:val="28"/>
        </w:rPr>
        <w:t>具体规定如下：</w:t>
      </w:r>
    </w:p>
    <w:p w:rsidR="009C6572" w:rsidRPr="00642A6C" w:rsidRDefault="009C6572" w:rsidP="000753CC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1</w:t>
      </w:r>
      <w:r w:rsidR="008075D2">
        <w:rPr>
          <w:rFonts w:ascii="仿宋" w:eastAsia="仿宋" w:hAnsi="仿宋" w:cs="仿宋_GB2312" w:hint="eastAsia"/>
          <w:sz w:val="28"/>
          <w:szCs w:val="28"/>
        </w:rPr>
        <w:t>、绩效考核工作由</w:t>
      </w:r>
      <w:r w:rsidRPr="00642A6C">
        <w:rPr>
          <w:rFonts w:ascii="仿宋" w:eastAsia="仿宋" w:hAnsi="仿宋" w:cs="仿宋_GB2312" w:hint="eastAsia"/>
          <w:sz w:val="28"/>
          <w:szCs w:val="28"/>
        </w:rPr>
        <w:t>中心绩效考核工作领导小组主持完成。</w:t>
      </w:r>
    </w:p>
    <w:p w:rsidR="00B80CEA" w:rsidRPr="00642A6C" w:rsidRDefault="009C6572" w:rsidP="000753CC">
      <w:pPr>
        <w:tabs>
          <w:tab w:val="left" w:pos="425"/>
        </w:tabs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2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、绩效考核每年</w:t>
      </w:r>
      <w:r w:rsidR="008075D2">
        <w:rPr>
          <w:rFonts w:ascii="仿宋" w:eastAsia="仿宋" w:hAnsi="仿宋" w:cs="仿宋_GB2312" w:hint="eastAsia"/>
          <w:sz w:val="28"/>
          <w:szCs w:val="28"/>
        </w:rPr>
        <w:t>度进行</w:t>
      </w:r>
      <w:r w:rsidR="008A3B4F">
        <w:rPr>
          <w:rFonts w:ascii="仿宋" w:eastAsia="仿宋" w:hAnsi="仿宋" w:cs="仿宋_GB2312" w:hint="eastAsia"/>
          <w:sz w:val="28"/>
          <w:szCs w:val="28"/>
        </w:rPr>
        <w:t>一次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，考核时段为上一年的12月到本年度</w:t>
      </w:r>
      <w:r w:rsidR="008A3B4F">
        <w:rPr>
          <w:rFonts w:ascii="仿宋" w:eastAsia="仿宋" w:hAnsi="仿宋" w:cs="仿宋_GB2312" w:hint="eastAsia"/>
          <w:sz w:val="28"/>
          <w:szCs w:val="28"/>
        </w:rPr>
        <w:t>11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月。</w:t>
      </w:r>
    </w:p>
    <w:p w:rsidR="00B80CEA" w:rsidRPr="00642A6C" w:rsidRDefault="009C6572" w:rsidP="000753CC">
      <w:pPr>
        <w:tabs>
          <w:tab w:val="left" w:pos="425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3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、绩效考核</w:t>
      </w:r>
      <w:r w:rsidR="008A3B4F">
        <w:rPr>
          <w:rFonts w:ascii="仿宋" w:eastAsia="仿宋" w:hAnsi="仿宋" w:cs="仿宋_GB2312" w:hint="eastAsia"/>
          <w:sz w:val="28"/>
          <w:szCs w:val="28"/>
        </w:rPr>
        <w:t>指标</w:t>
      </w:r>
      <w:r w:rsidR="00045721" w:rsidRPr="00642A6C">
        <w:rPr>
          <w:rFonts w:ascii="仿宋" w:eastAsia="仿宋" w:hAnsi="仿宋" w:cs="仿宋_GB2312" w:hint="eastAsia"/>
          <w:sz w:val="28"/>
          <w:szCs w:val="28"/>
        </w:rPr>
        <w:t>由定性部分与定量部分构成。定性部分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包括：</w:t>
      </w:r>
      <w:r w:rsidR="00045721" w:rsidRPr="00642A6C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思想素质、工作能力、特色创新；</w:t>
      </w:r>
      <w:r w:rsidR="00045721" w:rsidRPr="00642A6C">
        <w:rPr>
          <w:rFonts w:ascii="仿宋" w:eastAsia="仿宋" w:hAnsi="仿宋" w:cs="仿宋_GB2312" w:hint="eastAsia"/>
          <w:sz w:val="28"/>
          <w:szCs w:val="28"/>
        </w:rPr>
        <w:t>定量部分包括：</w:t>
      </w:r>
      <w:r w:rsidR="00045721" w:rsidRPr="00642A6C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工作纪律（考勤）、</w:t>
      </w:r>
      <w:r w:rsidR="00A9223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参与</w:t>
      </w:r>
      <w:r w:rsidR="00045721" w:rsidRPr="00642A6C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项目（</w:t>
      </w:r>
      <w:r w:rsidR="00025CFA">
        <w:rPr>
          <w:rFonts w:ascii="仿宋" w:eastAsia="仿宋" w:hAnsi="仿宋" w:cs="仿宋_GB2312" w:hint="eastAsia"/>
          <w:sz w:val="28"/>
          <w:szCs w:val="28"/>
        </w:rPr>
        <w:t>规划项目、大型活动</w:t>
      </w:r>
      <w:r w:rsidR="00045721" w:rsidRPr="00642A6C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）、研究报道（</w:t>
      </w:r>
      <w:r w:rsidR="00045721" w:rsidRPr="00642A6C">
        <w:rPr>
          <w:rFonts w:ascii="仿宋" w:eastAsia="仿宋" w:hAnsi="仿宋" w:cs="仿宋_GB2312" w:hint="eastAsia"/>
          <w:sz w:val="28"/>
          <w:szCs w:val="28"/>
        </w:rPr>
        <w:t>宣传工作、科研工作、获奖等</w:t>
      </w:r>
      <w:r w:rsidR="00045721" w:rsidRPr="00642A6C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）。</w:t>
      </w:r>
      <w:r w:rsidR="008A3B4F">
        <w:rPr>
          <w:rFonts w:ascii="仿宋" w:eastAsia="仿宋" w:hAnsi="仿宋" w:cs="仿宋_GB2312" w:hint="eastAsia"/>
          <w:sz w:val="28"/>
          <w:szCs w:val="28"/>
        </w:rPr>
        <w:t>详细指标</w:t>
      </w:r>
      <w:r w:rsidR="008075D2">
        <w:rPr>
          <w:rFonts w:ascii="仿宋" w:eastAsia="仿宋" w:hAnsi="仿宋" w:cs="仿宋_GB2312" w:hint="eastAsia"/>
          <w:sz w:val="28"/>
          <w:szCs w:val="28"/>
        </w:rPr>
        <w:t>内容</w:t>
      </w:r>
      <w:r w:rsidR="008A3B4F">
        <w:rPr>
          <w:rFonts w:ascii="仿宋" w:eastAsia="仿宋" w:hAnsi="仿宋" w:cs="仿宋_GB2312" w:hint="eastAsia"/>
          <w:sz w:val="28"/>
          <w:szCs w:val="28"/>
        </w:rPr>
        <w:t>见附表一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《中心人员工作考核</w:t>
      </w:r>
      <w:r w:rsidR="008A3B4F">
        <w:rPr>
          <w:rFonts w:ascii="仿宋" w:eastAsia="仿宋" w:hAnsi="仿宋" w:cs="仿宋_GB2312" w:hint="eastAsia"/>
          <w:sz w:val="28"/>
          <w:szCs w:val="28"/>
        </w:rPr>
        <w:t>评价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指标</w:t>
      </w:r>
      <w:r w:rsidR="00D45922">
        <w:rPr>
          <w:rFonts w:ascii="仿宋" w:eastAsia="仿宋" w:hAnsi="仿宋" w:cs="仿宋_GB2312" w:hint="eastAsia"/>
          <w:sz w:val="28"/>
          <w:szCs w:val="28"/>
        </w:rPr>
        <w:t>表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》。</w:t>
      </w:r>
    </w:p>
    <w:p w:rsidR="00B80CEA" w:rsidRPr="00642A6C" w:rsidRDefault="009C6572" w:rsidP="000753CC">
      <w:pPr>
        <w:tabs>
          <w:tab w:val="left" w:pos="425"/>
        </w:tabs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4</w:t>
      </w:r>
      <w:r w:rsidR="009F74DD">
        <w:rPr>
          <w:rFonts w:ascii="仿宋" w:eastAsia="仿宋" w:hAnsi="仿宋" w:cs="仿宋_GB2312" w:hint="eastAsia"/>
          <w:sz w:val="28"/>
          <w:szCs w:val="28"/>
        </w:rPr>
        <w:t>、绩效考核</w:t>
      </w:r>
      <w:r w:rsidR="00D45922">
        <w:rPr>
          <w:rFonts w:ascii="仿宋" w:eastAsia="仿宋" w:hAnsi="仿宋" w:cs="仿宋_GB2312" w:hint="eastAsia"/>
          <w:sz w:val="28"/>
          <w:szCs w:val="28"/>
        </w:rPr>
        <w:t>结果</w:t>
      </w:r>
      <w:r w:rsidR="00BB2E47">
        <w:rPr>
          <w:rFonts w:ascii="仿宋" w:eastAsia="仿宋" w:hAnsi="仿宋" w:cs="仿宋_GB2312" w:hint="eastAsia"/>
          <w:sz w:val="28"/>
          <w:szCs w:val="28"/>
        </w:rPr>
        <w:t>根据分数转换</w:t>
      </w:r>
      <w:r w:rsidR="00D45922">
        <w:rPr>
          <w:rFonts w:ascii="仿宋" w:eastAsia="仿宋" w:hAnsi="仿宋" w:cs="仿宋_GB2312" w:hint="eastAsia"/>
          <w:sz w:val="28"/>
          <w:szCs w:val="28"/>
        </w:rPr>
        <w:t>为</w:t>
      </w:r>
      <w:r w:rsidR="009F74DD">
        <w:rPr>
          <w:rFonts w:ascii="仿宋" w:eastAsia="仿宋" w:hAnsi="仿宋" w:cs="仿宋_GB2312" w:hint="eastAsia"/>
          <w:sz w:val="28"/>
          <w:szCs w:val="28"/>
        </w:rPr>
        <w:t>四个等级：优秀、良好、合格和不合格；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其中优秀人数的比例不超过中心全体教职工人数的30%。</w:t>
      </w:r>
    </w:p>
    <w:p w:rsidR="00B80CEA" w:rsidRPr="00642A6C" w:rsidRDefault="008645BC" w:rsidP="000753CC">
      <w:pPr>
        <w:tabs>
          <w:tab w:val="left" w:pos="425"/>
        </w:tabs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5</w:t>
      </w:r>
      <w:r w:rsidR="009C6572" w:rsidRPr="00642A6C">
        <w:rPr>
          <w:rFonts w:ascii="仿宋" w:eastAsia="仿宋" w:hAnsi="仿宋" w:cs="仿宋_GB2312" w:hint="eastAsia"/>
          <w:sz w:val="28"/>
          <w:szCs w:val="28"/>
        </w:rPr>
        <w:t>、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绩效考核</w:t>
      </w:r>
      <w:r w:rsidR="00D45922">
        <w:rPr>
          <w:rFonts w:ascii="仿宋" w:eastAsia="仿宋" w:hAnsi="仿宋" w:cs="仿宋_GB2312" w:hint="eastAsia"/>
          <w:sz w:val="28"/>
          <w:szCs w:val="28"/>
        </w:rPr>
        <w:t>评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分</w:t>
      </w:r>
      <w:r w:rsidR="008A3B4F">
        <w:rPr>
          <w:rFonts w:ascii="仿宋" w:eastAsia="仿宋" w:hAnsi="仿宋" w:cs="仿宋_GB2312" w:hint="eastAsia"/>
          <w:sz w:val="28"/>
          <w:szCs w:val="28"/>
        </w:rPr>
        <w:t>构成</w:t>
      </w:r>
      <w:r w:rsidR="00D45922">
        <w:rPr>
          <w:rFonts w:ascii="仿宋" w:eastAsia="仿宋" w:hAnsi="仿宋" w:cs="仿宋_GB2312" w:hint="eastAsia"/>
          <w:sz w:val="28"/>
          <w:szCs w:val="28"/>
        </w:rPr>
        <w:t>及比例</w:t>
      </w:r>
      <w:r w:rsidR="008A3B4F">
        <w:rPr>
          <w:rFonts w:ascii="仿宋" w:eastAsia="仿宋" w:hAnsi="仿宋" w:cs="仿宋_GB2312" w:hint="eastAsia"/>
          <w:sz w:val="28"/>
          <w:szCs w:val="28"/>
        </w:rPr>
        <w:t>为</w:t>
      </w:r>
      <w:r w:rsidR="00D45922">
        <w:rPr>
          <w:rFonts w:ascii="仿宋" w:eastAsia="仿宋" w:hAnsi="仿宋" w:cs="仿宋_GB2312" w:hint="eastAsia"/>
          <w:sz w:val="28"/>
          <w:szCs w:val="28"/>
        </w:rPr>
        <w:t>：</w:t>
      </w:r>
      <w:r w:rsidR="00C40A59" w:rsidRPr="00642A6C">
        <w:rPr>
          <w:rFonts w:ascii="仿宋" w:eastAsia="仿宋" w:hAnsi="仿宋" w:cs="仿宋_GB2312"/>
          <w:sz w:val="28"/>
          <w:szCs w:val="28"/>
        </w:rPr>
        <w:t>互评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分</w:t>
      </w:r>
      <w:r w:rsidR="00C40A59" w:rsidRPr="00642A6C">
        <w:rPr>
          <w:rFonts w:ascii="仿宋" w:eastAsia="仿宋" w:hAnsi="仿宋" w:cs="仿宋_GB2312"/>
          <w:sz w:val="28"/>
          <w:szCs w:val="28"/>
        </w:rPr>
        <w:t>（</w:t>
      </w:r>
      <w:r w:rsidR="00D9004B" w:rsidRPr="00642A6C">
        <w:rPr>
          <w:rFonts w:ascii="仿宋" w:eastAsia="仿宋" w:hAnsi="仿宋" w:cs="仿宋_GB2312" w:hint="eastAsia"/>
          <w:sz w:val="28"/>
          <w:szCs w:val="28"/>
        </w:rPr>
        <w:t>6</w:t>
      </w:r>
      <w:r w:rsidR="00C40A59" w:rsidRPr="00642A6C">
        <w:rPr>
          <w:rFonts w:ascii="仿宋" w:eastAsia="仿宋" w:hAnsi="仿宋" w:cs="仿宋_GB2312"/>
          <w:sz w:val="28"/>
          <w:szCs w:val="28"/>
        </w:rPr>
        <w:t>0%）、部主任</w:t>
      </w:r>
      <w:r w:rsidR="00BD3C15">
        <w:rPr>
          <w:rFonts w:ascii="仿宋" w:eastAsia="仿宋" w:hAnsi="仿宋" w:cs="仿宋_GB2312" w:hint="eastAsia"/>
          <w:sz w:val="28"/>
          <w:szCs w:val="28"/>
        </w:rPr>
        <w:t>评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分</w:t>
      </w:r>
      <w:r w:rsidR="00C40A59" w:rsidRPr="00642A6C">
        <w:rPr>
          <w:rFonts w:ascii="仿宋" w:eastAsia="仿宋" w:hAnsi="仿宋" w:cs="仿宋_GB2312"/>
          <w:sz w:val="28"/>
          <w:szCs w:val="28"/>
        </w:rPr>
        <w:t>（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2</w:t>
      </w:r>
      <w:r w:rsidR="00C40A59" w:rsidRPr="00642A6C">
        <w:rPr>
          <w:rFonts w:ascii="仿宋" w:eastAsia="仿宋" w:hAnsi="仿宋" w:cs="仿宋_GB2312"/>
          <w:sz w:val="28"/>
          <w:szCs w:val="28"/>
        </w:rPr>
        <w:t>0%）、考核小组</w:t>
      </w:r>
      <w:r w:rsidR="00BD3C15">
        <w:rPr>
          <w:rFonts w:ascii="仿宋" w:eastAsia="仿宋" w:hAnsi="仿宋" w:cs="仿宋_GB2312" w:hint="eastAsia"/>
          <w:sz w:val="28"/>
          <w:szCs w:val="28"/>
        </w:rPr>
        <w:t>评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分</w:t>
      </w:r>
      <w:r w:rsidR="00C40A59" w:rsidRPr="00642A6C">
        <w:rPr>
          <w:rFonts w:ascii="仿宋" w:eastAsia="仿宋" w:hAnsi="仿宋" w:cs="仿宋_GB2312"/>
          <w:sz w:val="28"/>
          <w:szCs w:val="28"/>
        </w:rPr>
        <w:t>（</w:t>
      </w:r>
      <w:r w:rsidR="00D9004B" w:rsidRPr="00642A6C">
        <w:rPr>
          <w:rFonts w:ascii="仿宋" w:eastAsia="仿宋" w:hAnsi="仿宋" w:cs="仿宋_GB2312" w:hint="eastAsia"/>
          <w:sz w:val="28"/>
          <w:szCs w:val="28"/>
        </w:rPr>
        <w:t>2</w:t>
      </w:r>
      <w:r w:rsidR="00C40A59" w:rsidRPr="00642A6C">
        <w:rPr>
          <w:rFonts w:ascii="仿宋" w:eastAsia="仿宋" w:hAnsi="仿宋" w:cs="仿宋_GB2312"/>
          <w:sz w:val="28"/>
          <w:szCs w:val="28"/>
        </w:rPr>
        <w:t>0%）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。</w:t>
      </w:r>
    </w:p>
    <w:p w:rsidR="008645BC" w:rsidRPr="00642A6C" w:rsidRDefault="008645BC" w:rsidP="000753CC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6、绩效考核工作流程：（1）</w:t>
      </w:r>
      <w:r w:rsidR="006C3071">
        <w:rPr>
          <w:rFonts w:ascii="仿宋" w:eastAsia="仿宋" w:hAnsi="仿宋" w:cs="仿宋_GB2312" w:hint="eastAsia"/>
          <w:sz w:val="28"/>
          <w:szCs w:val="28"/>
        </w:rPr>
        <w:t>填写表格。</w:t>
      </w:r>
      <w:r w:rsidRPr="00642A6C">
        <w:rPr>
          <w:rFonts w:ascii="仿宋" w:eastAsia="仿宋" w:hAnsi="仿宋" w:cs="仿宋_GB2312" w:hint="eastAsia"/>
          <w:sz w:val="28"/>
          <w:szCs w:val="28"/>
        </w:rPr>
        <w:t>中心工作人员</w:t>
      </w:r>
      <w:r w:rsidR="008075D2">
        <w:rPr>
          <w:rFonts w:ascii="仿宋" w:eastAsia="仿宋" w:hAnsi="仿宋" w:cs="仿宋_GB2312" w:hint="eastAsia"/>
          <w:sz w:val="28"/>
          <w:szCs w:val="28"/>
        </w:rPr>
        <w:t>参阅</w:t>
      </w:r>
      <w:r w:rsidR="008A3B4F">
        <w:rPr>
          <w:rFonts w:ascii="仿宋" w:eastAsia="仿宋" w:hAnsi="仿宋" w:cs="仿宋_GB2312" w:hint="eastAsia"/>
          <w:sz w:val="28"/>
          <w:szCs w:val="28"/>
        </w:rPr>
        <w:t>《</w:t>
      </w:r>
      <w:r w:rsidR="008A3B4F" w:rsidRPr="00642A6C">
        <w:rPr>
          <w:rFonts w:ascii="仿宋" w:eastAsia="仿宋" w:hAnsi="仿宋" w:cs="仿宋_GB2312" w:hint="eastAsia"/>
          <w:sz w:val="28"/>
          <w:szCs w:val="28"/>
        </w:rPr>
        <w:t>中心人员工作</w:t>
      </w:r>
      <w:r w:rsidR="008A3B4F">
        <w:rPr>
          <w:rFonts w:ascii="仿宋" w:eastAsia="仿宋" w:hAnsi="仿宋" w:cs="仿宋_GB2312" w:hint="eastAsia"/>
          <w:sz w:val="28"/>
          <w:szCs w:val="28"/>
        </w:rPr>
        <w:t>考核评价指标》内容，填写</w:t>
      </w:r>
      <w:r w:rsidR="008075D2">
        <w:rPr>
          <w:rFonts w:ascii="仿宋" w:eastAsia="仿宋" w:hAnsi="仿宋" w:cs="仿宋_GB2312" w:hint="eastAsia"/>
          <w:sz w:val="28"/>
          <w:szCs w:val="28"/>
        </w:rPr>
        <w:t>附表二</w:t>
      </w:r>
      <w:r w:rsidR="008A3B4F" w:rsidRPr="00642A6C">
        <w:rPr>
          <w:rFonts w:ascii="仿宋" w:eastAsia="仿宋" w:hAnsi="仿宋" w:cs="仿宋_GB2312" w:hint="eastAsia"/>
          <w:sz w:val="28"/>
          <w:szCs w:val="28"/>
        </w:rPr>
        <w:t>《中心人员工作考核</w:t>
      </w:r>
      <w:r w:rsidR="008A3B4F">
        <w:rPr>
          <w:rFonts w:ascii="仿宋" w:eastAsia="仿宋" w:hAnsi="仿宋" w:cs="仿宋_GB2312" w:hint="eastAsia"/>
          <w:sz w:val="28"/>
          <w:szCs w:val="28"/>
        </w:rPr>
        <w:t>评价表</w:t>
      </w:r>
      <w:r w:rsidR="008A3B4F" w:rsidRPr="00642A6C">
        <w:rPr>
          <w:rFonts w:ascii="仿宋" w:eastAsia="仿宋" w:hAnsi="仿宋" w:cs="仿宋_GB2312" w:hint="eastAsia"/>
          <w:sz w:val="28"/>
          <w:szCs w:val="28"/>
        </w:rPr>
        <w:t>》</w:t>
      </w:r>
      <w:r w:rsidR="00A9223D">
        <w:rPr>
          <w:rFonts w:ascii="仿宋" w:eastAsia="仿宋" w:hAnsi="仿宋" w:cs="仿宋_GB2312" w:hint="eastAsia"/>
          <w:sz w:val="28"/>
          <w:szCs w:val="28"/>
        </w:rPr>
        <w:t>，其中本年度完成的项目和考勤情况</w:t>
      </w:r>
      <w:r w:rsidR="008075D2">
        <w:rPr>
          <w:rFonts w:ascii="仿宋" w:eastAsia="仿宋" w:hAnsi="仿宋" w:cs="仿宋_GB2312" w:hint="eastAsia"/>
          <w:sz w:val="28"/>
          <w:szCs w:val="28"/>
        </w:rPr>
        <w:t>以</w:t>
      </w:r>
      <w:r w:rsidR="00A9223D">
        <w:rPr>
          <w:rFonts w:ascii="仿宋" w:eastAsia="仿宋" w:hAnsi="仿宋" w:cs="仿宋_GB2312" w:hint="eastAsia"/>
          <w:sz w:val="28"/>
          <w:szCs w:val="28"/>
        </w:rPr>
        <w:t>办公室公布</w:t>
      </w:r>
      <w:r w:rsidR="008075D2">
        <w:rPr>
          <w:rFonts w:ascii="仿宋" w:eastAsia="仿宋" w:hAnsi="仿宋" w:cs="仿宋_GB2312" w:hint="eastAsia"/>
          <w:sz w:val="28"/>
          <w:szCs w:val="28"/>
        </w:rPr>
        <w:t>为准</w:t>
      </w:r>
      <w:r w:rsidR="00A9223D">
        <w:rPr>
          <w:rFonts w:ascii="仿宋" w:eastAsia="仿宋" w:hAnsi="仿宋" w:cs="仿宋_GB2312" w:hint="eastAsia"/>
          <w:sz w:val="28"/>
          <w:szCs w:val="28"/>
        </w:rPr>
        <w:t>。</w:t>
      </w:r>
      <w:r w:rsidRPr="00642A6C">
        <w:rPr>
          <w:rFonts w:ascii="仿宋" w:eastAsia="仿宋" w:hAnsi="仿宋" w:cs="仿宋_GB2312" w:hint="eastAsia"/>
          <w:sz w:val="28"/>
          <w:szCs w:val="28"/>
        </w:rPr>
        <w:t>（2）互评</w:t>
      </w:r>
      <w:r w:rsidR="006C3071">
        <w:rPr>
          <w:rFonts w:ascii="仿宋" w:eastAsia="仿宋" w:hAnsi="仿宋" w:cs="仿宋_GB2312" w:hint="eastAsia"/>
          <w:sz w:val="28"/>
          <w:szCs w:val="28"/>
        </w:rPr>
        <w:t>。</w:t>
      </w:r>
      <w:r w:rsidR="008075D2">
        <w:rPr>
          <w:rFonts w:ascii="仿宋" w:eastAsia="仿宋" w:hAnsi="仿宋" w:cs="仿宋_GB2312" w:hint="eastAsia"/>
          <w:sz w:val="28"/>
          <w:szCs w:val="28"/>
        </w:rPr>
        <w:t>中心</w:t>
      </w:r>
      <w:r w:rsidRPr="00642A6C">
        <w:rPr>
          <w:rFonts w:ascii="仿宋" w:eastAsia="仿宋" w:hAnsi="仿宋" w:cs="仿宋_GB2312" w:hint="eastAsia"/>
          <w:sz w:val="28"/>
          <w:szCs w:val="28"/>
        </w:rPr>
        <w:t>全体人员根据《中心人员工作考核指标》</w:t>
      </w:r>
      <w:r w:rsidR="006C3071">
        <w:rPr>
          <w:rFonts w:ascii="仿宋" w:eastAsia="仿宋" w:hAnsi="仿宋" w:cs="仿宋_GB2312" w:hint="eastAsia"/>
          <w:sz w:val="28"/>
          <w:szCs w:val="28"/>
        </w:rPr>
        <w:t>对每位教师</w:t>
      </w:r>
      <w:r w:rsidR="008075D2">
        <w:rPr>
          <w:rFonts w:ascii="仿宋" w:eastAsia="仿宋" w:hAnsi="仿宋" w:cs="仿宋_GB2312" w:hint="eastAsia"/>
          <w:sz w:val="28"/>
          <w:szCs w:val="28"/>
        </w:rPr>
        <w:t>（含自己）</w:t>
      </w:r>
      <w:r w:rsidR="006C3071">
        <w:rPr>
          <w:rFonts w:ascii="仿宋" w:eastAsia="仿宋" w:hAnsi="仿宋" w:cs="仿宋_GB2312" w:hint="eastAsia"/>
          <w:sz w:val="28"/>
          <w:szCs w:val="28"/>
        </w:rPr>
        <w:t>进行</w:t>
      </w:r>
      <w:r w:rsidRPr="00642A6C">
        <w:rPr>
          <w:rFonts w:ascii="仿宋" w:eastAsia="仿宋" w:hAnsi="仿宋" w:cs="仿宋_GB2312" w:hint="eastAsia"/>
          <w:sz w:val="28"/>
          <w:szCs w:val="28"/>
        </w:rPr>
        <w:t>评</w:t>
      </w:r>
      <w:r w:rsidR="006C3071">
        <w:rPr>
          <w:rFonts w:ascii="仿宋" w:eastAsia="仿宋" w:hAnsi="仿宋" w:cs="仿宋_GB2312" w:hint="eastAsia"/>
          <w:sz w:val="28"/>
          <w:szCs w:val="28"/>
        </w:rPr>
        <w:t>分</w:t>
      </w:r>
      <w:r w:rsidRPr="00642A6C">
        <w:rPr>
          <w:rFonts w:ascii="仿宋" w:eastAsia="仿宋" w:hAnsi="仿宋" w:cs="仿宋_GB2312" w:hint="eastAsia"/>
          <w:sz w:val="28"/>
          <w:szCs w:val="28"/>
        </w:rPr>
        <w:t>工作。</w:t>
      </w:r>
      <w:r w:rsidR="006C3071" w:rsidRPr="00642A6C">
        <w:rPr>
          <w:rFonts w:ascii="仿宋" w:eastAsia="仿宋" w:hAnsi="仿宋" w:cs="仿宋_GB2312" w:hint="eastAsia"/>
          <w:sz w:val="28"/>
          <w:szCs w:val="28"/>
        </w:rPr>
        <w:t>（3）</w:t>
      </w:r>
      <w:r w:rsidR="006C3071" w:rsidRPr="00642A6C">
        <w:rPr>
          <w:rFonts w:ascii="仿宋" w:eastAsia="仿宋" w:hAnsi="仿宋" w:cs="仿宋_GB2312"/>
          <w:sz w:val="28"/>
          <w:szCs w:val="28"/>
        </w:rPr>
        <w:t>部主任</w:t>
      </w:r>
      <w:r w:rsidR="006C3071" w:rsidRPr="00642A6C">
        <w:rPr>
          <w:rFonts w:ascii="仿宋" w:eastAsia="仿宋" w:hAnsi="仿宋" w:cs="仿宋_GB2312" w:hint="eastAsia"/>
          <w:sz w:val="28"/>
          <w:szCs w:val="28"/>
        </w:rPr>
        <w:t>完成对本部门人员的</w:t>
      </w:r>
      <w:r w:rsidR="00A9223D">
        <w:rPr>
          <w:rFonts w:ascii="仿宋" w:eastAsia="仿宋" w:hAnsi="仿宋" w:cs="仿宋_GB2312" w:hint="eastAsia"/>
          <w:sz w:val="28"/>
          <w:szCs w:val="28"/>
        </w:rPr>
        <w:t>评分</w:t>
      </w:r>
      <w:r w:rsidR="006C3071" w:rsidRPr="00642A6C">
        <w:rPr>
          <w:rFonts w:ascii="仿宋" w:eastAsia="仿宋" w:hAnsi="仿宋" w:cs="仿宋_GB2312" w:hint="eastAsia"/>
          <w:sz w:val="28"/>
          <w:szCs w:val="28"/>
        </w:rPr>
        <w:t>。</w:t>
      </w:r>
      <w:r w:rsidRPr="00642A6C">
        <w:rPr>
          <w:rFonts w:ascii="仿宋" w:eastAsia="仿宋" w:hAnsi="仿宋" w:cs="仿宋_GB2312" w:hint="eastAsia"/>
          <w:sz w:val="28"/>
          <w:szCs w:val="28"/>
        </w:rPr>
        <w:t>（</w:t>
      </w:r>
      <w:r w:rsidR="00A9223D">
        <w:rPr>
          <w:rFonts w:ascii="仿宋" w:eastAsia="仿宋" w:hAnsi="仿宋" w:cs="仿宋_GB2312" w:hint="eastAsia"/>
          <w:sz w:val="28"/>
          <w:szCs w:val="28"/>
        </w:rPr>
        <w:t>4</w:t>
      </w:r>
      <w:r w:rsidRPr="00642A6C">
        <w:rPr>
          <w:rFonts w:ascii="仿宋" w:eastAsia="仿宋" w:hAnsi="仿宋" w:cs="仿宋_GB2312" w:hint="eastAsia"/>
          <w:sz w:val="28"/>
          <w:szCs w:val="28"/>
        </w:rPr>
        <w:t>）中心考核</w:t>
      </w:r>
      <w:r w:rsidR="008075D2">
        <w:rPr>
          <w:rFonts w:ascii="仿宋" w:eastAsia="仿宋" w:hAnsi="仿宋" w:cs="仿宋_GB2312" w:hint="eastAsia"/>
          <w:sz w:val="28"/>
          <w:szCs w:val="28"/>
        </w:rPr>
        <w:t>领导</w:t>
      </w:r>
      <w:r w:rsidRPr="00642A6C">
        <w:rPr>
          <w:rFonts w:ascii="仿宋" w:eastAsia="仿宋" w:hAnsi="仿宋" w:cs="仿宋_GB2312" w:hint="eastAsia"/>
          <w:sz w:val="28"/>
          <w:szCs w:val="28"/>
        </w:rPr>
        <w:t>小组</w:t>
      </w:r>
      <w:r w:rsidR="00A9223D">
        <w:rPr>
          <w:rFonts w:ascii="仿宋" w:eastAsia="仿宋" w:hAnsi="仿宋" w:cs="仿宋_GB2312" w:hint="eastAsia"/>
          <w:sz w:val="28"/>
          <w:szCs w:val="28"/>
        </w:rPr>
        <w:t>进行全体人员评分</w:t>
      </w:r>
      <w:r w:rsidRPr="00642A6C">
        <w:rPr>
          <w:rFonts w:ascii="仿宋" w:eastAsia="仿宋" w:hAnsi="仿宋" w:cs="仿宋_GB2312" w:hint="eastAsia"/>
          <w:sz w:val="28"/>
          <w:szCs w:val="28"/>
        </w:rPr>
        <w:t>并最终评定每一位工作人员的得分，确定人员</w:t>
      </w:r>
      <w:r w:rsidR="00A9223D">
        <w:rPr>
          <w:rFonts w:ascii="仿宋" w:eastAsia="仿宋" w:hAnsi="仿宋" w:cs="仿宋_GB2312" w:hint="eastAsia"/>
          <w:sz w:val="28"/>
          <w:szCs w:val="28"/>
        </w:rPr>
        <w:t>考核等级</w:t>
      </w:r>
      <w:r w:rsidRPr="00642A6C">
        <w:rPr>
          <w:rFonts w:ascii="仿宋" w:eastAsia="仿宋" w:hAnsi="仿宋" w:cs="仿宋_GB2312" w:hint="eastAsia"/>
          <w:sz w:val="28"/>
          <w:szCs w:val="28"/>
        </w:rPr>
        <w:t>并公示。</w:t>
      </w:r>
    </w:p>
    <w:p w:rsidR="00B80CEA" w:rsidRDefault="008645BC" w:rsidP="000753CC">
      <w:pPr>
        <w:tabs>
          <w:tab w:val="left" w:pos="425"/>
        </w:tabs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lastRenderedPageBreak/>
        <w:t>7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、对于工作表现差、群众意见大和被师生投诉的教职工，经中心考核小组核实，</w:t>
      </w:r>
      <w:r w:rsidR="00BB2E47">
        <w:rPr>
          <w:rFonts w:ascii="仿宋" w:eastAsia="仿宋" w:hAnsi="仿宋" w:cs="仿宋_GB2312" w:hint="eastAsia"/>
          <w:sz w:val="28"/>
          <w:szCs w:val="28"/>
        </w:rPr>
        <w:t>直接确定为不合格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。</w:t>
      </w:r>
    </w:p>
    <w:p w:rsidR="000753CC" w:rsidRPr="00642A6C" w:rsidRDefault="000753CC" w:rsidP="000753CC">
      <w:pPr>
        <w:tabs>
          <w:tab w:val="left" w:pos="425"/>
        </w:tabs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8、考核结果将作为评奖、评</w:t>
      </w:r>
      <w:r w:rsidR="008075D2">
        <w:rPr>
          <w:rFonts w:ascii="仿宋" w:eastAsia="仿宋" w:hAnsi="仿宋" w:cs="仿宋_GB2312" w:hint="eastAsia"/>
          <w:sz w:val="28"/>
          <w:szCs w:val="28"/>
        </w:rPr>
        <w:t>优</w:t>
      </w:r>
      <w:r>
        <w:rPr>
          <w:rFonts w:ascii="仿宋" w:eastAsia="仿宋" w:hAnsi="仿宋" w:cs="仿宋_GB2312" w:hint="eastAsia"/>
          <w:sz w:val="28"/>
          <w:szCs w:val="28"/>
        </w:rPr>
        <w:t>及</w:t>
      </w:r>
      <w:r w:rsidR="00772CB2">
        <w:rPr>
          <w:rFonts w:ascii="仿宋" w:eastAsia="仿宋" w:hAnsi="仿宋" w:cs="仿宋_GB2312" w:hint="eastAsia"/>
          <w:sz w:val="28"/>
          <w:szCs w:val="28"/>
        </w:rPr>
        <w:t>工作</w:t>
      </w:r>
      <w:r>
        <w:rPr>
          <w:rFonts w:ascii="仿宋" w:eastAsia="仿宋" w:hAnsi="仿宋" w:cs="仿宋_GB2312" w:hint="eastAsia"/>
          <w:sz w:val="28"/>
          <w:szCs w:val="28"/>
        </w:rPr>
        <w:t>绩效补贴发放的依据。</w:t>
      </w:r>
    </w:p>
    <w:p w:rsidR="00B80CEA" w:rsidRDefault="000753CC" w:rsidP="000753CC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9</w:t>
      </w:r>
      <w:r w:rsidR="00C40A59" w:rsidRPr="00642A6C">
        <w:rPr>
          <w:rFonts w:ascii="仿宋" w:eastAsia="仿宋" w:hAnsi="仿宋" w:cs="仿宋_GB2312" w:hint="eastAsia"/>
          <w:sz w:val="28"/>
          <w:szCs w:val="28"/>
        </w:rPr>
        <w:t>、本规定于2016年11月起生效。</w:t>
      </w:r>
    </w:p>
    <w:p w:rsidR="00901CE1" w:rsidRDefault="00901CE1" w:rsidP="000753CC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901CE1" w:rsidRDefault="00901CE1" w:rsidP="000753CC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901CE1" w:rsidRPr="00642A6C" w:rsidRDefault="00901CE1" w:rsidP="000753CC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B80CEA" w:rsidRPr="00642A6C" w:rsidRDefault="00C40A59">
      <w:pPr>
        <w:spacing w:line="360" w:lineRule="auto"/>
        <w:ind w:firstLineChars="200" w:firstLine="560"/>
        <w:jc w:val="right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 w:hint="eastAsia"/>
          <w:sz w:val="28"/>
          <w:szCs w:val="28"/>
        </w:rPr>
        <w:t>现</w:t>
      </w:r>
      <w:r w:rsidR="00A9223D">
        <w:rPr>
          <w:rFonts w:ascii="仿宋" w:eastAsia="仿宋" w:hAnsi="仿宋" w:cs="仿宋_GB2312" w:hint="eastAsia"/>
          <w:sz w:val="28"/>
          <w:szCs w:val="28"/>
        </w:rPr>
        <w:t>代</w:t>
      </w:r>
      <w:r w:rsidRPr="00642A6C">
        <w:rPr>
          <w:rFonts w:ascii="仿宋" w:eastAsia="仿宋" w:hAnsi="仿宋" w:cs="仿宋_GB2312" w:hint="eastAsia"/>
          <w:sz w:val="28"/>
          <w:szCs w:val="28"/>
        </w:rPr>
        <w:t>教</w:t>
      </w:r>
      <w:r w:rsidR="00A9223D">
        <w:rPr>
          <w:rFonts w:ascii="仿宋" w:eastAsia="仿宋" w:hAnsi="仿宋" w:cs="仿宋_GB2312" w:hint="eastAsia"/>
          <w:sz w:val="28"/>
          <w:szCs w:val="28"/>
        </w:rPr>
        <w:t>育技术</w:t>
      </w:r>
      <w:r w:rsidRPr="00642A6C">
        <w:rPr>
          <w:rFonts w:ascii="仿宋" w:eastAsia="仿宋" w:hAnsi="仿宋" w:cs="仿宋_GB2312" w:hint="eastAsia"/>
          <w:sz w:val="28"/>
          <w:szCs w:val="28"/>
        </w:rPr>
        <w:t>中心</w:t>
      </w:r>
    </w:p>
    <w:p w:rsidR="00B80CEA" w:rsidRPr="00642A6C" w:rsidRDefault="00C40A59">
      <w:pPr>
        <w:spacing w:line="360" w:lineRule="auto"/>
        <w:ind w:firstLineChars="200" w:firstLine="560"/>
        <w:jc w:val="right"/>
        <w:rPr>
          <w:rFonts w:ascii="仿宋" w:eastAsia="仿宋" w:hAnsi="仿宋" w:cs="仿宋_GB2312"/>
          <w:sz w:val="28"/>
          <w:szCs w:val="28"/>
        </w:rPr>
      </w:pPr>
      <w:r w:rsidRPr="00642A6C">
        <w:rPr>
          <w:rFonts w:ascii="仿宋" w:eastAsia="仿宋" w:hAnsi="仿宋" w:cs="仿宋_GB2312"/>
          <w:sz w:val="28"/>
          <w:szCs w:val="28"/>
        </w:rPr>
        <w:t>2016年11月</w:t>
      </w:r>
    </w:p>
    <w:p w:rsidR="00B80CEA" w:rsidRPr="00642A6C" w:rsidRDefault="00B80CEA">
      <w:pPr>
        <w:spacing w:line="360" w:lineRule="auto"/>
        <w:ind w:firstLineChars="200" w:firstLine="560"/>
        <w:jc w:val="right"/>
        <w:rPr>
          <w:rFonts w:ascii="仿宋" w:eastAsia="仿宋" w:hAnsi="仿宋" w:cs="仿宋_GB2312"/>
          <w:sz w:val="28"/>
          <w:szCs w:val="28"/>
        </w:rPr>
      </w:pPr>
    </w:p>
    <w:p w:rsidR="009D59F6" w:rsidRDefault="008645BC" w:rsidP="009D59F6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  <w:sectPr w:rsidR="009D59F6" w:rsidSect="009D59F6">
          <w:pgSz w:w="11906" w:h="16838" w:code="9"/>
          <w:pgMar w:top="1440" w:right="1644" w:bottom="1440" w:left="1644" w:header="851" w:footer="992" w:gutter="0"/>
          <w:cols w:space="720"/>
          <w:docGrid w:type="linesAndChars" w:linePitch="312"/>
        </w:sectPr>
      </w:pPr>
      <w:r w:rsidRPr="00642A6C">
        <w:rPr>
          <w:rFonts w:ascii="仿宋" w:eastAsia="仿宋" w:hAnsi="仿宋" w:cs="仿宋_GB2312"/>
          <w:sz w:val="28"/>
          <w:szCs w:val="28"/>
        </w:rPr>
        <w:br w:type="page"/>
      </w:r>
    </w:p>
    <w:p w:rsidR="00B80CEA" w:rsidRDefault="00BB2E47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中心人员工作考核评价</w:t>
      </w:r>
      <w:r w:rsidR="00C40A59">
        <w:rPr>
          <w:rFonts w:ascii="宋体" w:hAnsi="宋体" w:cs="宋体" w:hint="eastAsia"/>
          <w:b/>
          <w:bCs/>
          <w:sz w:val="32"/>
          <w:szCs w:val="32"/>
        </w:rPr>
        <w:t>指标</w:t>
      </w:r>
    </w:p>
    <w:tbl>
      <w:tblPr>
        <w:tblW w:w="12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1805"/>
        <w:gridCol w:w="5902"/>
        <w:gridCol w:w="1004"/>
        <w:gridCol w:w="773"/>
        <w:gridCol w:w="773"/>
        <w:gridCol w:w="890"/>
      </w:tblGrid>
      <w:tr w:rsidR="00B80CEA" w:rsidTr="006522DF">
        <w:trPr>
          <w:trHeight w:val="419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CEA" w:rsidRDefault="00807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</w:t>
            </w:r>
            <w:r w:rsidR="00C40A5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CEA" w:rsidRDefault="00807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</w:t>
            </w:r>
            <w:r w:rsidR="00C40A5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5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CEA" w:rsidRDefault="00C40A59" w:rsidP="00807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  <w:r w:rsidR="008075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内涵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CEA" w:rsidRDefault="008075D2" w:rsidP="00807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评分</w:t>
            </w:r>
          </w:p>
        </w:tc>
      </w:tr>
      <w:tr w:rsidR="006522DF" w:rsidTr="006522DF">
        <w:trPr>
          <w:trHeight w:val="43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</w:tr>
      <w:tr w:rsidR="006522DF" w:rsidTr="006522DF">
        <w:trPr>
          <w:trHeight w:val="978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定性</w:t>
            </w:r>
            <w:r w:rsidR="008075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（50分）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思想素质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8075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根据平时工作的主动性、责任心、服务意识</w:t>
            </w:r>
            <w:r w:rsidR="006522D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以及对中心活动的参与度来确定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6522DF" w:rsidTr="006522DF">
        <w:trPr>
          <w:trHeight w:val="104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工作能力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根据工作负荷度、工作规范程度、工作效率、协作能力、业务熟悉程度、工作应变能力以及学习能力来确定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-20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6522DF" w:rsidTr="006522DF">
        <w:trPr>
          <w:trHeight w:val="745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特色创新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 w:rsidP="006522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根据是否有创新意识和创新工作来确定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522DF" w:rsidTr="006522DF">
        <w:trPr>
          <w:trHeight w:val="512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定量</w:t>
            </w:r>
            <w:r w:rsidR="008075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（50分）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工作纪律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以平时考勤数据为主要参考依据确定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 w:rsidR="00BB2E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 w:rsidR="00BB2E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 w:rsidR="00BB2E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6522DF" w:rsidTr="006522DF">
        <w:trPr>
          <w:trHeight w:val="923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A92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参与</w:t>
            </w:r>
            <w:r w:rsidR="006522D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 w:rsidP="008075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项目建设</w:t>
            </w:r>
            <w:r w:rsidR="008075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或活动开展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完成后计算分</w:t>
            </w:r>
            <w:r w:rsidR="008075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值</w:t>
            </w:r>
            <w:r w:rsidR="00A9223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  <w:r w:rsidR="008075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项目分根据项目参与度、工作量及项目效果确定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 w:rsidR="00BB2E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 w:rsidP="00BB2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 w:rsidR="00BB2E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-19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  <w:r w:rsidR="00BB2E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-13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6522DF" w:rsidTr="006522DF">
        <w:trPr>
          <w:trHeight w:val="756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研究报道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根据获奖、论文、课题、报告、报道等次数确定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2DF" w:rsidRDefault="0065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D45922" w:rsidRDefault="00D45922">
      <w:pPr>
        <w:spacing w:line="360" w:lineRule="auto"/>
        <w:jc w:val="left"/>
        <w:rPr>
          <w:rFonts w:ascii="宋体" w:hAnsi="宋体" w:cs="宋体"/>
          <w:sz w:val="24"/>
        </w:rPr>
      </w:pPr>
    </w:p>
    <w:p w:rsidR="00BB2E47" w:rsidRDefault="00BB2E47">
      <w:pPr>
        <w:spacing w:line="360" w:lineRule="auto"/>
        <w:jc w:val="left"/>
        <w:rPr>
          <w:rFonts w:ascii="宋体" w:hAnsi="宋体" w:cs="宋体"/>
          <w:sz w:val="24"/>
        </w:rPr>
      </w:pPr>
    </w:p>
    <w:p w:rsidR="00D45922" w:rsidRDefault="00D45922">
      <w:pPr>
        <w:spacing w:line="360" w:lineRule="auto"/>
        <w:jc w:val="left"/>
        <w:rPr>
          <w:rFonts w:ascii="宋体" w:hAnsi="宋体" w:cs="宋体"/>
          <w:sz w:val="24"/>
        </w:rPr>
      </w:pPr>
    </w:p>
    <w:p w:rsidR="00025CFA" w:rsidRDefault="00D45922" w:rsidP="00025CFA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中心人员工作考核评价表</w:t>
      </w:r>
    </w:p>
    <w:p w:rsidR="00025CFA" w:rsidRPr="00E101C6" w:rsidRDefault="00025CFA" w:rsidP="008075D2">
      <w:pPr>
        <w:spacing w:line="360" w:lineRule="auto"/>
        <w:ind w:firstLineChars="200" w:firstLine="442"/>
        <w:rPr>
          <w:rFonts w:ascii="宋体" w:hAnsi="宋体" w:cs="宋体"/>
          <w:b/>
          <w:bCs/>
          <w:sz w:val="22"/>
          <w:szCs w:val="32"/>
        </w:rPr>
      </w:pPr>
      <w:r w:rsidRPr="00E101C6">
        <w:rPr>
          <w:rFonts w:ascii="宋体" w:hAnsi="宋体" w:cs="宋体" w:hint="eastAsia"/>
          <w:b/>
          <w:bCs/>
          <w:sz w:val="22"/>
          <w:szCs w:val="32"/>
        </w:rPr>
        <w:t xml:space="preserve">部门:         </w:t>
      </w:r>
      <w:r w:rsidR="008075D2">
        <w:rPr>
          <w:rFonts w:ascii="宋体" w:hAnsi="宋体" w:cs="宋体"/>
          <w:b/>
          <w:bCs/>
          <w:sz w:val="22"/>
          <w:szCs w:val="32"/>
        </w:rPr>
        <w:t xml:space="preserve">           </w:t>
      </w:r>
      <w:r w:rsidRPr="00E101C6">
        <w:rPr>
          <w:rFonts w:ascii="宋体" w:hAnsi="宋体" w:cs="宋体" w:hint="eastAsia"/>
          <w:b/>
          <w:bCs/>
          <w:sz w:val="22"/>
          <w:szCs w:val="32"/>
        </w:rPr>
        <w:t xml:space="preserve">      姓名:                         </w:t>
      </w:r>
      <w:r w:rsidRPr="00E101C6">
        <w:rPr>
          <w:rFonts w:ascii="宋体" w:hAnsi="宋体" w:cs="宋体"/>
          <w:b/>
          <w:bCs/>
          <w:sz w:val="22"/>
          <w:szCs w:val="32"/>
        </w:rPr>
        <w:t xml:space="preserve">       </w:t>
      </w:r>
      <w:r w:rsidRPr="00E101C6">
        <w:rPr>
          <w:rFonts w:ascii="宋体" w:hAnsi="宋体" w:cs="宋体" w:hint="eastAsia"/>
          <w:b/>
          <w:bCs/>
          <w:sz w:val="22"/>
          <w:szCs w:val="32"/>
        </w:rPr>
        <w:t xml:space="preserve">     填表日期：</w:t>
      </w:r>
    </w:p>
    <w:tbl>
      <w:tblPr>
        <w:tblW w:w="13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9067"/>
        <w:gridCol w:w="823"/>
        <w:gridCol w:w="821"/>
        <w:gridCol w:w="821"/>
        <w:gridCol w:w="901"/>
      </w:tblGrid>
      <w:tr w:rsidR="00025CFA" w:rsidTr="008075D2">
        <w:trPr>
          <w:trHeight w:val="734"/>
          <w:jc w:val="center"/>
        </w:trPr>
        <w:tc>
          <w:tcPr>
            <w:tcW w:w="10097" w:type="dxa"/>
            <w:gridSpan w:val="2"/>
            <w:shd w:val="clear" w:color="auto" w:fill="auto"/>
            <w:vAlign w:val="center"/>
          </w:tcPr>
          <w:p w:rsidR="00025CFA" w:rsidRPr="006522DF" w:rsidRDefault="00025CFA" w:rsidP="00AD6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6522DF">
              <w:rPr>
                <w:rFonts w:ascii="宋体" w:hAnsi="宋体" w:cs="宋体" w:hint="eastAsia"/>
                <w:color w:val="000000"/>
                <w:kern w:val="0"/>
                <w:lang w:bidi="ar"/>
              </w:rPr>
              <w:t>主要业绩</w:t>
            </w:r>
          </w:p>
        </w:tc>
        <w:tc>
          <w:tcPr>
            <w:tcW w:w="823" w:type="dxa"/>
          </w:tcPr>
          <w:p w:rsidR="00025CFA" w:rsidRPr="006522DF" w:rsidRDefault="00025CFA" w:rsidP="00807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522DF">
              <w:rPr>
                <w:rFonts w:ascii="宋体" w:hAnsi="宋体" w:cs="宋体" w:hint="eastAsia"/>
                <w:color w:val="000000"/>
                <w:kern w:val="0"/>
                <w:lang w:bidi="ar"/>
              </w:rPr>
              <w:t>互评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得分</w:t>
            </w:r>
          </w:p>
        </w:tc>
        <w:tc>
          <w:tcPr>
            <w:tcW w:w="821" w:type="dxa"/>
          </w:tcPr>
          <w:p w:rsidR="00025CFA" w:rsidRPr="006522DF" w:rsidRDefault="00025CFA" w:rsidP="00BB2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522DF">
              <w:rPr>
                <w:rFonts w:ascii="宋体" w:hAnsi="宋体" w:cs="宋体" w:hint="eastAsia"/>
                <w:color w:val="000000"/>
                <w:kern w:val="0"/>
                <w:lang w:bidi="ar"/>
              </w:rPr>
              <w:t>部主任评分</w:t>
            </w:r>
          </w:p>
        </w:tc>
        <w:tc>
          <w:tcPr>
            <w:tcW w:w="821" w:type="dxa"/>
          </w:tcPr>
          <w:p w:rsidR="00025CFA" w:rsidRPr="006522DF" w:rsidRDefault="00025CFA" w:rsidP="00BB2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522DF">
              <w:rPr>
                <w:rFonts w:ascii="宋体" w:hAnsi="宋体" w:cs="宋体" w:hint="eastAsia"/>
                <w:color w:val="000000"/>
                <w:kern w:val="0"/>
                <w:lang w:bidi="ar"/>
              </w:rPr>
              <w:t>考核小组评分</w:t>
            </w:r>
          </w:p>
        </w:tc>
        <w:tc>
          <w:tcPr>
            <w:tcW w:w="901" w:type="dxa"/>
          </w:tcPr>
          <w:p w:rsidR="00025CFA" w:rsidRDefault="00025CFA" w:rsidP="00BB2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总分</w:t>
            </w:r>
          </w:p>
          <w:p w:rsidR="00025CFA" w:rsidRPr="006522DF" w:rsidRDefault="00025CFA" w:rsidP="00BB2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考核结果</w:t>
            </w:r>
          </w:p>
        </w:tc>
      </w:tr>
      <w:tr w:rsidR="00025CFA" w:rsidTr="008075D2">
        <w:trPr>
          <w:trHeight w:val="2810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025CFA" w:rsidRPr="006522DF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6522DF">
              <w:rPr>
                <w:rFonts w:ascii="宋体" w:hAnsi="宋体" w:cs="宋体" w:hint="eastAsia"/>
                <w:color w:val="000000"/>
              </w:rPr>
              <w:t>定性部分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3" w:type="dxa"/>
            <w:vMerge w:val="restart"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1" w:type="dxa"/>
            <w:vMerge w:val="restart"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1" w:type="dxa"/>
            <w:vMerge w:val="restart"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1" w:type="dxa"/>
            <w:vMerge w:val="restart"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25CFA" w:rsidTr="008075D2">
        <w:trPr>
          <w:trHeight w:val="2804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025CFA" w:rsidRPr="006522DF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 w:rsidRPr="006522DF">
              <w:rPr>
                <w:rFonts w:ascii="宋体" w:hAnsi="宋体" w:cs="宋体" w:hint="eastAsia"/>
                <w:color w:val="000000"/>
              </w:rPr>
              <w:t>定量部分</w:t>
            </w:r>
          </w:p>
        </w:tc>
        <w:tc>
          <w:tcPr>
            <w:tcW w:w="9067" w:type="dxa"/>
            <w:shd w:val="clear" w:color="auto" w:fill="auto"/>
            <w:vAlign w:val="center"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3" w:type="dxa"/>
            <w:vMerge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1" w:type="dxa"/>
            <w:vMerge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1" w:type="dxa"/>
            <w:vMerge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1" w:type="dxa"/>
            <w:vMerge/>
          </w:tcPr>
          <w:p w:rsidR="00025CFA" w:rsidRDefault="00025CFA" w:rsidP="004D3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8075D2" w:rsidRDefault="008075D2" w:rsidP="00025CFA">
      <w:pPr>
        <w:spacing w:line="360" w:lineRule="auto"/>
        <w:ind w:right="2160"/>
        <w:jc w:val="right"/>
        <w:rPr>
          <w:rFonts w:ascii="宋体" w:hAnsi="宋体" w:cs="宋体"/>
          <w:sz w:val="24"/>
        </w:rPr>
      </w:pPr>
    </w:p>
    <w:p w:rsidR="00D45922" w:rsidRPr="006522DF" w:rsidRDefault="00025CFA" w:rsidP="00025CFA">
      <w:pPr>
        <w:spacing w:line="360" w:lineRule="auto"/>
        <w:ind w:right="216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签名：</w:t>
      </w:r>
    </w:p>
    <w:sectPr w:rsidR="00D45922" w:rsidRPr="006522DF" w:rsidSect="006522DF">
      <w:pgSz w:w="16838" w:h="11906" w:orient="landscape" w:code="9"/>
      <w:pgMar w:top="1644" w:right="1440" w:bottom="164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7C" w:rsidRDefault="00234B7C" w:rsidP="000F37F1">
      <w:r>
        <w:separator/>
      </w:r>
    </w:p>
  </w:endnote>
  <w:endnote w:type="continuationSeparator" w:id="0">
    <w:p w:rsidR="00234B7C" w:rsidRDefault="00234B7C" w:rsidP="000F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7C" w:rsidRDefault="00234B7C" w:rsidP="000F37F1">
      <w:r>
        <w:separator/>
      </w:r>
    </w:p>
  </w:footnote>
  <w:footnote w:type="continuationSeparator" w:id="0">
    <w:p w:rsidR="00234B7C" w:rsidRDefault="00234B7C" w:rsidP="000F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4E"/>
    <w:rsid w:val="000027FE"/>
    <w:rsid w:val="00025CFA"/>
    <w:rsid w:val="0003661E"/>
    <w:rsid w:val="00045721"/>
    <w:rsid w:val="00053F04"/>
    <w:rsid w:val="000753CC"/>
    <w:rsid w:val="000A276F"/>
    <w:rsid w:val="000F2A2D"/>
    <w:rsid w:val="000F37F1"/>
    <w:rsid w:val="00133706"/>
    <w:rsid w:val="00234B7C"/>
    <w:rsid w:val="00315C0E"/>
    <w:rsid w:val="003C49F5"/>
    <w:rsid w:val="0048015B"/>
    <w:rsid w:val="004F19E1"/>
    <w:rsid w:val="004F5FF6"/>
    <w:rsid w:val="0052317C"/>
    <w:rsid w:val="0062397A"/>
    <w:rsid w:val="00642A6C"/>
    <w:rsid w:val="006522DF"/>
    <w:rsid w:val="006B1029"/>
    <w:rsid w:val="006C3071"/>
    <w:rsid w:val="0075499F"/>
    <w:rsid w:val="00761850"/>
    <w:rsid w:val="00767D4E"/>
    <w:rsid w:val="00772CB2"/>
    <w:rsid w:val="007A4BCF"/>
    <w:rsid w:val="007B0B38"/>
    <w:rsid w:val="007D4CA4"/>
    <w:rsid w:val="007E28FE"/>
    <w:rsid w:val="008075D2"/>
    <w:rsid w:val="008645BC"/>
    <w:rsid w:val="008A3B4F"/>
    <w:rsid w:val="008B4485"/>
    <w:rsid w:val="00901CE1"/>
    <w:rsid w:val="0091336A"/>
    <w:rsid w:val="00955F90"/>
    <w:rsid w:val="009C6572"/>
    <w:rsid w:val="009C7F62"/>
    <w:rsid w:val="009D59F6"/>
    <w:rsid w:val="009F74DD"/>
    <w:rsid w:val="00A0404E"/>
    <w:rsid w:val="00A9223D"/>
    <w:rsid w:val="00AD6B92"/>
    <w:rsid w:val="00B44A58"/>
    <w:rsid w:val="00B80CEA"/>
    <w:rsid w:val="00BA6910"/>
    <w:rsid w:val="00BA7DF3"/>
    <w:rsid w:val="00BB2E47"/>
    <w:rsid w:val="00BC6731"/>
    <w:rsid w:val="00BD3C15"/>
    <w:rsid w:val="00BD7095"/>
    <w:rsid w:val="00C168C6"/>
    <w:rsid w:val="00C40A59"/>
    <w:rsid w:val="00C62245"/>
    <w:rsid w:val="00CB4A81"/>
    <w:rsid w:val="00CB5BCF"/>
    <w:rsid w:val="00CC2E25"/>
    <w:rsid w:val="00D27B25"/>
    <w:rsid w:val="00D37424"/>
    <w:rsid w:val="00D45922"/>
    <w:rsid w:val="00D777D4"/>
    <w:rsid w:val="00D9004B"/>
    <w:rsid w:val="00E101C6"/>
    <w:rsid w:val="00E205F6"/>
    <w:rsid w:val="00E44885"/>
    <w:rsid w:val="00E55E45"/>
    <w:rsid w:val="00EC145D"/>
    <w:rsid w:val="00EC7CEF"/>
    <w:rsid w:val="00EE4D05"/>
    <w:rsid w:val="00FF7637"/>
    <w:rsid w:val="0C560E28"/>
    <w:rsid w:val="4B44162F"/>
    <w:rsid w:val="56B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F7E41-F772-4309-863E-9EF0464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0F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7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7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208</Words>
  <Characters>1191</Characters>
  <Application>Microsoft Office Word</Application>
  <DocSecurity>0</DocSecurity>
  <Lines>9</Lines>
  <Paragraphs>2</Paragraphs>
  <ScaleCrop>false</ScaleCrop>
  <Company>Sky123.Org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周潇</cp:lastModifiedBy>
  <cp:revision>40</cp:revision>
  <cp:lastPrinted>2016-11-25T07:39:00Z</cp:lastPrinted>
  <dcterms:created xsi:type="dcterms:W3CDTF">2016-11-24T01:00:00Z</dcterms:created>
  <dcterms:modified xsi:type="dcterms:W3CDTF">2016-11-28T08:12:00Z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